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E9862">
      <w:pPr>
        <w:pStyle w:val="3"/>
        <w:widowControl/>
        <w:numPr>
          <w:ilvl w:val="0"/>
          <w:numId w:val="0"/>
        </w:numPr>
        <w:shd w:val="clear" w:color="auto" w:fill="FFFFFF"/>
        <w:spacing w:beforeAutospacing="0" w:afterAutospacing="0" w:line="30" w:lineRule="atLeast"/>
        <w:ind w:firstLine="480" w:firstLineChars="200"/>
        <w:rPr>
          <w:rFonts w:hint="eastAsia" w:ascii="微软雅黑" w:hAnsi="微软雅黑" w:eastAsia="微软雅黑" w:cs="微软雅黑"/>
          <w:color w:val="000000" w:themeColor="text1"/>
          <w:shd w:val="clear" w:color="auto" w:fill="FFFFFF"/>
          <w:lang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eastAsia="zh-CN"/>
          <w14:textFill>
            <w14:solidFill>
              <w14:schemeClr w14:val="tx1"/>
            </w14:solidFill>
          </w14:textFill>
        </w:rPr>
        <w:t>附件</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1</w:t>
      </w:r>
      <w:r>
        <w:rPr>
          <w:rFonts w:hint="eastAsia" w:ascii="微软雅黑" w:hAnsi="微软雅黑" w:eastAsia="微软雅黑" w:cs="微软雅黑"/>
          <w:color w:val="000000" w:themeColor="text1"/>
          <w:shd w:val="clear" w:color="auto" w:fill="FFFFFF"/>
          <w:lang w:eastAsia="zh-CN"/>
          <w14:textFill>
            <w14:solidFill>
              <w14:schemeClr w14:val="tx1"/>
            </w14:solidFill>
          </w14:textFill>
        </w:rPr>
        <w:t>、</w:t>
      </w:r>
    </w:p>
    <w:p w14:paraId="7D20959D">
      <w:pPr>
        <w:pStyle w:val="3"/>
        <w:widowControl/>
        <w:numPr>
          <w:ilvl w:val="0"/>
          <w:numId w:val="0"/>
        </w:numPr>
        <w:shd w:val="clear" w:color="auto" w:fill="FFFFFF"/>
        <w:spacing w:beforeAutospacing="0" w:afterAutospacing="0" w:line="30" w:lineRule="atLeast"/>
        <w:ind w:firstLine="880" w:firstLineChars="200"/>
        <w:jc w:val="center"/>
        <w:rPr>
          <w:rFonts w:hint="default" w:ascii="微软雅黑" w:hAnsi="微软雅黑" w:eastAsia="微软雅黑" w:cs="微软雅黑"/>
          <w:color w:val="000000" w:themeColor="text1"/>
          <w:sz w:val="44"/>
          <w:szCs w:val="44"/>
          <w:shd w:val="clear" w:color="auto" w:fill="FFFFFF"/>
          <w14:textFill>
            <w14:solidFill>
              <w14:schemeClr w14:val="tx1"/>
            </w14:solidFill>
          </w14:textFill>
        </w:rPr>
      </w:pPr>
      <w:r>
        <w:rPr>
          <w:rFonts w:hint="default" w:ascii="微软雅黑" w:hAnsi="微软雅黑" w:eastAsia="微软雅黑" w:cs="微软雅黑"/>
          <w:color w:val="000000" w:themeColor="text1"/>
          <w:sz w:val="44"/>
          <w:szCs w:val="44"/>
          <w:shd w:val="clear" w:color="auto" w:fill="FFFFFF"/>
          <w14:textFill>
            <w14:solidFill>
              <w14:schemeClr w14:val="tx1"/>
            </w14:solidFill>
          </w14:textFill>
        </w:rPr>
        <w:t>采购基本情况及需求</w:t>
      </w:r>
    </w:p>
    <w:p w14:paraId="129A1273">
      <w:pPr>
        <w:numPr>
          <w:ilvl w:val="0"/>
          <w:numId w:val="1"/>
        </w:numPr>
        <w:rPr>
          <w:rFonts w:hint="eastAsia"/>
          <w:b/>
          <w:bCs/>
          <w:sz w:val="28"/>
          <w:szCs w:val="28"/>
          <w:lang w:eastAsia="zh-CN"/>
        </w:rPr>
      </w:pPr>
      <w:r>
        <w:rPr>
          <w:rFonts w:hint="eastAsia"/>
          <w:b/>
          <w:bCs/>
          <w:sz w:val="28"/>
          <w:szCs w:val="28"/>
          <w:lang w:eastAsia="zh-CN"/>
        </w:rPr>
        <w:t>项目内容</w:t>
      </w:r>
    </w:p>
    <w:p w14:paraId="48CABEBB">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1、该基因测序服务用于HIV</w:t>
      </w:r>
      <w:r>
        <w:rPr>
          <w:rFonts w:hint="eastAsia" w:ascii="宋体" w:hAnsi="宋体" w:eastAsia="宋体"/>
          <w:szCs w:val="21"/>
        </w:rPr>
        <w:t>-1</w:t>
      </w:r>
      <w:r>
        <w:rPr>
          <w:rFonts w:hint="eastAsia" w:ascii="宋体" w:hAnsi="宋体" w:eastAsia="宋体" w:cs="宋体"/>
          <w:color w:val="000000"/>
          <w:szCs w:val="21"/>
        </w:rPr>
        <w:t>的全长基因组pol 基因的PROS3、RTAS-Qian、RTB-CB、PROC1S、RT20S3等基因的扩增测序。测序样本类型为提取后的核酸，体积为30-50 ul。</w:t>
      </w:r>
    </w:p>
    <w:p w14:paraId="2B449126">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2、对质检合格样本进行进行巢式PCR扩增，得出测序所需的目的片段纯化后直接测序，非特异性样本经TA克隆后测序；</w:t>
      </w:r>
    </w:p>
    <w:p w14:paraId="6940F8BE">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3、要求对测序产生的数据进行基因系统进化和耐药位点分析并提供分析报告。</w:t>
      </w:r>
    </w:p>
    <w:p w14:paraId="3B06C85D">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4</w:t>
      </w:r>
      <w:r>
        <w:rPr>
          <w:rFonts w:hint="eastAsia" w:ascii="宋体" w:hAnsi="宋体" w:eastAsia="宋体" w:cs="宋体"/>
          <w:color w:val="000000"/>
          <w:szCs w:val="21"/>
        </w:rPr>
        <w:t>、序列质量要求：</w:t>
      </w:r>
    </w:p>
    <w:p w14:paraId="54919EA2">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①测序结果的峰图要尖锐、对称、无底峰干扰；信号强度要在正常范围内；连续有效读序长度（</w:t>
      </w:r>
      <w:r>
        <w:rPr>
          <w:rFonts w:ascii="宋体" w:hAnsi="宋体" w:eastAsia="宋体" w:cs="宋体"/>
          <w:color w:val="000000"/>
          <w:szCs w:val="21"/>
        </w:rPr>
        <w:t>CRL</w:t>
      </w:r>
      <w:r>
        <w:rPr>
          <w:rFonts w:hint="eastAsia" w:ascii="宋体" w:hAnsi="宋体" w:eastAsia="宋体" w:cs="宋体"/>
          <w:color w:val="000000"/>
          <w:szCs w:val="21"/>
        </w:rPr>
        <w:t>）可达</w:t>
      </w:r>
      <w:r>
        <w:rPr>
          <w:rFonts w:ascii="宋体" w:hAnsi="宋体" w:eastAsia="宋体" w:cs="宋体"/>
          <w:color w:val="000000"/>
          <w:szCs w:val="21"/>
        </w:rPr>
        <w:t>1000bp</w:t>
      </w:r>
      <w:r>
        <w:rPr>
          <w:rFonts w:hint="eastAsia" w:ascii="宋体" w:hAnsi="宋体" w:eastAsia="宋体" w:cs="宋体"/>
          <w:color w:val="000000"/>
          <w:szCs w:val="21"/>
        </w:rPr>
        <w:t>或产物长度。</w:t>
      </w:r>
    </w:p>
    <w:p w14:paraId="27ACA348">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②</w:t>
      </w:r>
      <w:r>
        <w:rPr>
          <w:rFonts w:ascii="宋体" w:hAnsi="宋体" w:eastAsia="宋体" w:cs="宋体"/>
          <w:color w:val="000000"/>
          <w:szCs w:val="21"/>
        </w:rPr>
        <w:t>HIV</w:t>
      </w:r>
      <w:r>
        <w:rPr>
          <w:rFonts w:hint="eastAsia" w:ascii="宋体" w:hAnsi="宋体" w:eastAsia="宋体" w:cs="宋体"/>
          <w:color w:val="000000"/>
          <w:szCs w:val="21"/>
        </w:rPr>
        <w:t>-1全基因片段测序中，序列质量分数（</w:t>
      </w:r>
      <w:r>
        <w:rPr>
          <w:rFonts w:ascii="宋体" w:hAnsi="宋体" w:eastAsia="宋体" w:cs="宋体"/>
          <w:color w:val="000000"/>
          <w:szCs w:val="21"/>
        </w:rPr>
        <w:t>Quality Score</w:t>
      </w:r>
      <w:r>
        <w:rPr>
          <w:rFonts w:hint="eastAsia" w:ascii="宋体" w:hAnsi="宋体" w:eastAsia="宋体" w:cs="宋体"/>
          <w:color w:val="000000"/>
          <w:szCs w:val="21"/>
        </w:rPr>
        <w:t>）达到</w:t>
      </w:r>
      <w:r>
        <w:rPr>
          <w:rFonts w:ascii="宋体" w:hAnsi="宋体" w:eastAsia="宋体" w:cs="宋体"/>
          <w:color w:val="000000"/>
          <w:szCs w:val="21"/>
        </w:rPr>
        <w:t>40</w:t>
      </w:r>
      <w:r>
        <w:rPr>
          <w:rFonts w:hint="eastAsia" w:ascii="宋体" w:hAnsi="宋体" w:eastAsia="宋体" w:cs="宋体"/>
          <w:color w:val="000000"/>
          <w:szCs w:val="21"/>
        </w:rPr>
        <w:t>分的碱基数不低于</w:t>
      </w:r>
      <w:r>
        <w:rPr>
          <w:rFonts w:ascii="宋体" w:hAnsi="宋体" w:eastAsia="宋体" w:cs="宋体"/>
          <w:color w:val="000000"/>
          <w:szCs w:val="21"/>
        </w:rPr>
        <w:t>95%</w:t>
      </w:r>
      <w:r>
        <w:rPr>
          <w:rFonts w:hint="eastAsia" w:ascii="宋体" w:hAnsi="宋体" w:eastAsia="宋体" w:cs="宋体"/>
          <w:color w:val="000000"/>
          <w:szCs w:val="21"/>
        </w:rPr>
        <w:t>。</w:t>
      </w:r>
    </w:p>
    <w:p w14:paraId="24323716">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5</w:t>
      </w:r>
      <w:r>
        <w:rPr>
          <w:rFonts w:hint="eastAsia" w:ascii="宋体" w:hAnsi="宋体" w:eastAsia="宋体" w:cs="宋体"/>
          <w:color w:val="000000"/>
          <w:szCs w:val="21"/>
        </w:rPr>
        <w:t>、具有</w:t>
      </w:r>
      <w:r>
        <w:rPr>
          <w:rFonts w:hint="eastAsia" w:ascii="宋体" w:hAnsi="宋体" w:eastAsia="宋体" w:cs="宋体"/>
          <w:szCs w:val="21"/>
        </w:rPr>
        <w:t>合法的诊断报告示范，合法的医学基因检测咨询体系，以及正规管理规范文件等</w:t>
      </w:r>
      <w:r>
        <w:rPr>
          <w:rFonts w:hint="eastAsia" w:ascii="宋体" w:hAnsi="宋体" w:eastAsia="宋体" w:cs="宋体"/>
          <w:color w:val="000000"/>
          <w:szCs w:val="21"/>
        </w:rPr>
        <w:t>质量保证体系和工作流程，控制高通量测序过程中出现的样本混淆情况。结账时按第</w:t>
      </w:r>
      <w:r>
        <w:rPr>
          <w:rFonts w:ascii="宋体" w:hAnsi="宋体" w:eastAsia="宋体" w:cs="宋体"/>
          <w:color w:val="000000"/>
          <w:szCs w:val="21"/>
        </w:rPr>
        <w:t>4</w:t>
      </w:r>
      <w:r>
        <w:rPr>
          <w:rFonts w:hint="eastAsia" w:ascii="宋体" w:hAnsi="宋体" w:eastAsia="宋体" w:cs="宋体"/>
          <w:color w:val="000000"/>
          <w:szCs w:val="21"/>
        </w:rPr>
        <w:t>条符合序列质量要求条款的样本进行支付；成功率不满足质量要求条款时采购人有权要求赔款。</w:t>
      </w:r>
    </w:p>
    <w:p w14:paraId="30BE901B">
      <w:pPr>
        <w:spacing w:line="360" w:lineRule="auto"/>
        <w:ind w:firstLine="420" w:firstLineChars="200"/>
        <w:rPr>
          <w:rFonts w:hint="eastAsia" w:ascii="宋体" w:hAnsi="宋体" w:eastAsia="宋体"/>
          <w:szCs w:val="21"/>
        </w:rPr>
      </w:pPr>
      <w:r>
        <w:rPr>
          <w:rFonts w:ascii="宋体" w:hAnsi="宋体" w:eastAsia="宋体" w:cs="宋体"/>
          <w:color w:val="000000"/>
          <w:szCs w:val="21"/>
        </w:rPr>
        <w:t>6</w:t>
      </w:r>
      <w:r>
        <w:rPr>
          <w:rFonts w:hint="eastAsia" w:ascii="宋体" w:hAnsi="宋体" w:eastAsia="宋体" w:cs="宋体"/>
          <w:color w:val="000000"/>
          <w:szCs w:val="21"/>
        </w:rPr>
        <w:t>、</w:t>
      </w:r>
      <w:r>
        <w:rPr>
          <w:rFonts w:hint="eastAsia" w:ascii="宋体" w:hAnsi="宋体" w:eastAsia="宋体"/>
          <w:szCs w:val="21"/>
        </w:rPr>
        <w:t>要求服务商提供本项目所需核酸提取、反转录和巢式PCR扩增试剂，并对扩增产物进行一代测序和结果处理分析。</w:t>
      </w:r>
    </w:p>
    <w:p w14:paraId="6293163C">
      <w:pPr>
        <w:spacing w:line="360" w:lineRule="auto"/>
        <w:rPr>
          <w:rFonts w:hint="eastAsia" w:ascii="宋体" w:hAnsi="宋体" w:eastAsia="宋体" w:cs="宋体"/>
          <w:b/>
          <w:bCs/>
          <w:szCs w:val="21"/>
        </w:rPr>
      </w:pPr>
      <w:r>
        <w:rPr>
          <w:rFonts w:hint="eastAsia" w:ascii="宋体" w:hAnsi="宋体" w:eastAsia="宋体"/>
          <w:szCs w:val="21"/>
          <w:lang w:eastAsia="zh-CN"/>
        </w:rPr>
        <w:t>二、</w:t>
      </w:r>
      <w:r>
        <w:rPr>
          <w:rFonts w:hint="eastAsia" w:ascii="宋体" w:hAnsi="宋体" w:eastAsia="宋体" w:cs="宋体"/>
          <w:b/>
          <w:bCs/>
          <w:szCs w:val="21"/>
        </w:rPr>
        <w:t>项目服务要求</w:t>
      </w:r>
    </w:p>
    <w:p w14:paraId="7F6F38E3">
      <w:pPr>
        <w:spacing w:line="360" w:lineRule="auto"/>
        <w:ind w:firstLine="420" w:firstLineChars="200"/>
        <w:rPr>
          <w:rFonts w:ascii="宋体" w:hAnsi="宋体" w:eastAsia="宋体" w:cs="宋体"/>
          <w:szCs w:val="21"/>
        </w:rPr>
      </w:pPr>
      <w:r>
        <w:rPr>
          <w:rFonts w:hint="eastAsia" w:ascii="宋体" w:hAnsi="宋体" w:eastAsia="宋体" w:cs="宋体"/>
          <w:szCs w:val="21"/>
        </w:rPr>
        <w:t>1、样品按需分批次送测，收到样品后12小时内返回测序结果及分析报告。（样本按要求保存至项目执行完后的2个月）。</w:t>
      </w:r>
    </w:p>
    <w:p w14:paraId="68464EB8">
      <w:pPr>
        <w:spacing w:line="360" w:lineRule="auto"/>
        <w:ind w:firstLine="420" w:firstLineChars="200"/>
        <w:rPr>
          <w:rFonts w:ascii="宋体" w:hAnsi="宋体" w:eastAsia="宋体" w:cs="宋体"/>
          <w:szCs w:val="21"/>
        </w:rPr>
      </w:pPr>
      <w:r>
        <w:rPr>
          <w:rFonts w:hint="eastAsia" w:ascii="宋体" w:hAnsi="宋体" w:eastAsia="宋体" w:cs="宋体"/>
          <w:szCs w:val="21"/>
        </w:rPr>
        <w:t>2、测序结果通过邮件或在线系统发送给采购人，若一次测序结果不理想，需技术分析后进行优化测序。</w:t>
      </w:r>
    </w:p>
    <w:p w14:paraId="5FA13DAF">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3、客服及售后：工作日提供电话或在线查询和咨询服务，提供售前售后销售或技术支持服务。</w:t>
      </w:r>
    </w:p>
    <w:p w14:paraId="08921CCE">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right="0" w:rightChars="0"/>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三、项目开展时间</w:t>
      </w:r>
    </w:p>
    <w:p w14:paraId="2824CD1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Chars="20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合同成立之日起1年。</w:t>
      </w:r>
    </w:p>
    <w:p w14:paraId="0BA8307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right="0" w:right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四、项目数量及预算</w:t>
      </w:r>
    </w:p>
    <w:p w14:paraId="735E01F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Chars="200" w:right="0" w:righ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全年共400份，预算12</w:t>
      </w:r>
      <w:bookmarkStart w:id="0" w:name="_GoBack"/>
      <w:bookmarkEnd w:id="0"/>
      <w:r>
        <w:rPr>
          <w:rFonts w:hint="eastAsia" w:ascii="宋体" w:hAnsi="宋体" w:eastAsia="宋体" w:cs="宋体"/>
          <w:color w:val="000000"/>
          <w:kern w:val="2"/>
          <w:sz w:val="21"/>
          <w:szCs w:val="21"/>
          <w:lang w:val="en-US" w:eastAsia="zh-CN" w:bidi="ar-SA"/>
        </w:rPr>
        <w:t>0000元。</w:t>
      </w:r>
    </w:p>
    <w:p w14:paraId="66F79EFE">
      <w:pPr>
        <w:spacing w:line="360" w:lineRule="auto"/>
        <w:ind w:firstLine="420" w:firstLineChars="200"/>
        <w:rPr>
          <w:rFonts w:hint="eastAsia" w:ascii="宋体" w:hAnsi="宋体" w:eastAsia="宋体" w:cs="宋体"/>
          <w:color w:val="000000"/>
          <w:szCs w:val="21"/>
        </w:rPr>
      </w:pPr>
    </w:p>
    <w:p w14:paraId="011F9E2B">
      <w:pPr>
        <w:spacing w:line="360" w:lineRule="auto"/>
        <w:rPr>
          <w:rFonts w:hint="eastAsia" w:ascii="宋体" w:hAnsi="宋体" w:eastAsia="宋体" w:cs="宋体"/>
          <w:b/>
          <w:bCs/>
          <w:szCs w:val="21"/>
          <w:lang w:eastAsia="zh-CN"/>
        </w:rPr>
      </w:pPr>
    </w:p>
    <w:p w14:paraId="3E9C7115">
      <w:pPr>
        <w:pStyle w:val="4"/>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0F210"/>
    <w:multiLevelType w:val="singleLevel"/>
    <w:tmpl w:val="4290F2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A07E3"/>
    <w:rsid w:val="050B65F9"/>
    <w:rsid w:val="054367F9"/>
    <w:rsid w:val="404E0AB6"/>
    <w:rsid w:val="5A3A07E3"/>
    <w:rsid w:val="65FE3BFC"/>
    <w:rsid w:val="72A1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unhideWhenUsed/>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648</Characters>
  <Lines>0</Lines>
  <Paragraphs>0</Paragraphs>
  <TotalTime>2</TotalTime>
  <ScaleCrop>false</ScaleCrop>
  <LinksUpToDate>false</LinksUpToDate>
  <CharactersWithSpaces>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2025-03-25T08:22:00Z</dcterms:created>
  <dc:creator>1</dc:creator>
  <cp:lastModifiedBy>阿修罗Q</cp:lastModifiedBy>
  <dcterms:modified xsi:type="dcterms:W3CDTF">2025-04-25T02:43:23Z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C16CCC8A5D7944479A7FCE52993BFF23_11</vt:lpwstr>
  </property>
  <property fmtid="{D5CDD505-2E9C-101B-9397-08002B2CF9AE}" pid="4" name="KSOTemplateDocerSaveRecord">
    <vt:lpwstr>eyJoZGlkIjoiODYxOTRkOTYyZTdhM2YzMDY4YTI0MTYzMGFlZDBlODAiLCJ1c2VySWQiOiI0MzE0MjkzMjMifQ==</vt:lpwstr>
  </property>
</Properties>
</file>