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2B629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30" w:lineRule="atLeas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</w:p>
    <w:p w14:paraId="11CC4BC1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30" w:lineRule="atLeast"/>
        <w:ind w:firstLine="880" w:firstLineChars="200"/>
        <w:jc w:val="center"/>
        <w:rPr>
          <w:rFonts w:hint="default" w:ascii="微软雅黑" w:hAnsi="微软雅黑" w:eastAsia="微软雅黑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采购基本情况及需求</w:t>
      </w:r>
    </w:p>
    <w:p w14:paraId="13AA41E9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30" w:lineRule="atLeast"/>
        <w:jc w:val="both"/>
        <w:rPr>
          <w:rFonts w:hint="default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包组1（微检）</w:t>
      </w:r>
    </w:p>
    <w:tbl>
      <w:tblPr>
        <w:tblStyle w:val="4"/>
        <w:tblW w:w="9311" w:type="dxa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200"/>
        <w:gridCol w:w="4904"/>
        <w:gridCol w:w="970"/>
        <w:gridCol w:w="1222"/>
      </w:tblGrid>
      <w:tr w14:paraId="22DA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5" w:type="dxa"/>
            <w:vAlign w:val="center"/>
          </w:tcPr>
          <w:p w14:paraId="4DDFC769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vAlign w:val="center"/>
          </w:tcPr>
          <w:p w14:paraId="78E7D5D5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904" w:type="dxa"/>
            <w:vAlign w:val="center"/>
          </w:tcPr>
          <w:p w14:paraId="1F3C25F0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采购需求概况</w:t>
            </w:r>
          </w:p>
        </w:tc>
        <w:tc>
          <w:tcPr>
            <w:tcW w:w="970" w:type="dxa"/>
            <w:vAlign w:val="center"/>
          </w:tcPr>
          <w:p w14:paraId="4E6628CF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 w14:paraId="22C87422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jc w:val="center"/>
              <w:rPr>
                <w:rFonts w:hint="default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台）</w:t>
            </w:r>
          </w:p>
        </w:tc>
        <w:tc>
          <w:tcPr>
            <w:tcW w:w="1222" w:type="dxa"/>
          </w:tcPr>
          <w:p w14:paraId="7D61B9A2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万元）</w:t>
            </w:r>
          </w:p>
        </w:tc>
      </w:tr>
      <w:tr w14:paraId="0E5A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1015" w:type="dxa"/>
          </w:tcPr>
          <w:p w14:paraId="5C3B59D2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vAlign w:val="center"/>
          </w:tcPr>
          <w:p w14:paraId="59FE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全自动免疫荧光酶标仪</w:t>
            </w:r>
          </w:p>
        </w:tc>
        <w:tc>
          <w:tcPr>
            <w:tcW w:w="4904" w:type="dxa"/>
            <w:vAlign w:val="center"/>
          </w:tcPr>
          <w:p w14:paraId="24F0C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用于微生物检测、食品安全分析及临床诊断领域。其核心功能基于酶联荧光免疫分析技术（ELFA），通过自动化流程实现高灵敏度、高特异性的检测，适用于疾控中心对传染病、食源性疾病及急危重症生物标志物的快速筛查与诊断。</w:t>
            </w:r>
          </w:p>
        </w:tc>
        <w:tc>
          <w:tcPr>
            <w:tcW w:w="970" w:type="dxa"/>
            <w:vAlign w:val="center"/>
          </w:tcPr>
          <w:p w14:paraId="0E71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vAlign w:val="center"/>
          </w:tcPr>
          <w:p w14:paraId="08AE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 w14:paraId="1C58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015" w:type="dxa"/>
          </w:tcPr>
          <w:p w14:paraId="0F45999C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dxa"/>
            <w:vAlign w:val="center"/>
          </w:tcPr>
          <w:p w14:paraId="6924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超低温保存箱（-86℃）</w:t>
            </w:r>
          </w:p>
        </w:tc>
        <w:tc>
          <w:tcPr>
            <w:tcW w:w="4904" w:type="dxa"/>
            <w:vAlign w:val="center"/>
          </w:tcPr>
          <w:p w14:paraId="48D7E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温度范围：-40℃~-86℃,用于储存生物大分子、细胞、组织液和菌毒种等。性能要求：具有智慧样本管理、实时显示设备运行状态、实时数据查询与导出、多重保障样本安全、提供两种以上的解锁方式等。</w:t>
            </w:r>
          </w:p>
        </w:tc>
        <w:tc>
          <w:tcPr>
            <w:tcW w:w="970" w:type="dxa"/>
            <w:vAlign w:val="center"/>
          </w:tcPr>
          <w:p w14:paraId="7B8F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vAlign w:val="center"/>
          </w:tcPr>
          <w:p w14:paraId="4327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 w14:paraId="264E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015" w:type="dxa"/>
          </w:tcPr>
          <w:p w14:paraId="7016536A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  <w:vAlign w:val="center"/>
          </w:tcPr>
          <w:p w14:paraId="3152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医用冰箱（-40℃）</w:t>
            </w:r>
          </w:p>
        </w:tc>
        <w:tc>
          <w:tcPr>
            <w:tcW w:w="4904" w:type="dxa"/>
            <w:vAlign w:val="center"/>
          </w:tcPr>
          <w:p w14:paraId="721A2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度范围：-20℃~-40℃,用于保存新鲜冻结血浆、遗传研究的酶、培养基、试剂以及生物标本等。性能要求：具有智慧样本管理、实时显示设备运行状态、实时数据查询与导出、多重保障样本安全、提供两种以上的解锁方式等。</w:t>
            </w:r>
          </w:p>
        </w:tc>
        <w:tc>
          <w:tcPr>
            <w:tcW w:w="970" w:type="dxa"/>
            <w:vAlign w:val="center"/>
          </w:tcPr>
          <w:p w14:paraId="0BA4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vAlign w:val="center"/>
          </w:tcPr>
          <w:p w14:paraId="6C21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2E9AC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015" w:type="dxa"/>
          </w:tcPr>
          <w:p w14:paraId="7BD55A6A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0" w:type="dxa"/>
            <w:vAlign w:val="center"/>
          </w:tcPr>
          <w:p w14:paraId="6644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病毒载量测定仪</w:t>
            </w:r>
          </w:p>
        </w:tc>
        <w:tc>
          <w:tcPr>
            <w:tcW w:w="4904" w:type="dxa"/>
            <w:vAlign w:val="center"/>
          </w:tcPr>
          <w:p w14:paraId="02440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用于：HIV感染诊断的补充试验，检测HIV-1病毒载量，同时可应用于丙肝病毒载量检测、乙肝病毒载量检测、结核分枝杆菌检测等。性能要求：无需人工提取，加样后试剂盒内自动提取、检测和结果报告，操作简单、安全：流程简单，全自动全封闭式一体化能保证HIV检测的操作安全性。</w:t>
            </w:r>
          </w:p>
        </w:tc>
        <w:tc>
          <w:tcPr>
            <w:tcW w:w="970" w:type="dxa"/>
            <w:vAlign w:val="center"/>
          </w:tcPr>
          <w:p w14:paraId="71D2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vAlign w:val="center"/>
          </w:tcPr>
          <w:p w14:paraId="1909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</w:tr>
      <w:tr w14:paraId="1188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015" w:type="dxa"/>
          </w:tcPr>
          <w:p w14:paraId="456B457D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0" w:type="dxa"/>
            <w:vAlign w:val="center"/>
          </w:tcPr>
          <w:p w14:paraId="6E03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孵化器</w:t>
            </w:r>
          </w:p>
        </w:tc>
        <w:tc>
          <w:tcPr>
            <w:tcW w:w="4904" w:type="dxa"/>
            <w:vAlign w:val="center"/>
          </w:tcPr>
          <w:p w14:paraId="592D6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流感病毒分离培养鸡胚的孵化用。性能要求：容量大于180枚鸡蛋包含出雏盘，持续显示孵化温度和湿度，以及温度警报和翻蛋状态。具有温度报警装置，高低温报警。一键按钮功能可将蛋盘调平，方便取放托盘。配有先进的湿度泵，可全自动控制湿度。</w:t>
            </w:r>
          </w:p>
        </w:tc>
        <w:tc>
          <w:tcPr>
            <w:tcW w:w="970" w:type="dxa"/>
            <w:vAlign w:val="center"/>
          </w:tcPr>
          <w:p w14:paraId="133E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vAlign w:val="center"/>
          </w:tcPr>
          <w:p w14:paraId="0634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057C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015" w:type="dxa"/>
          </w:tcPr>
          <w:p w14:paraId="723BB39D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00" w:type="dxa"/>
            <w:vAlign w:val="center"/>
          </w:tcPr>
          <w:p w14:paraId="3B6B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微生物鉴定与药敏分析</w:t>
            </w:r>
          </w:p>
        </w:tc>
        <w:tc>
          <w:tcPr>
            <w:tcW w:w="4904" w:type="dxa"/>
            <w:vAlign w:val="center"/>
          </w:tcPr>
          <w:p w14:paraId="16447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应用于快速鉴定病原菌，病原微生物的快速全面的进行微生物鉴定和药敏分析，提供多种耐药性监测，为临床抗生素合理运用起到有效指导作用。性能要求:具有鉴定范围最广、结果准确可靠的全自动细菌鉴定系统、提供安全及高度自动化的工作流程，无需手工接种及封口，避免交叉污染。</w:t>
            </w:r>
          </w:p>
        </w:tc>
        <w:tc>
          <w:tcPr>
            <w:tcW w:w="970" w:type="dxa"/>
            <w:vAlign w:val="center"/>
          </w:tcPr>
          <w:p w14:paraId="2DC9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vAlign w:val="center"/>
          </w:tcPr>
          <w:p w14:paraId="59CA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 w14:paraId="2048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015" w:type="dxa"/>
          </w:tcPr>
          <w:p w14:paraId="518B398E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0" w:type="dxa"/>
            <w:vAlign w:val="center"/>
          </w:tcPr>
          <w:p w14:paraId="2975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二代基因测序仪</w:t>
            </w:r>
          </w:p>
        </w:tc>
        <w:tc>
          <w:tcPr>
            <w:tcW w:w="4904" w:type="dxa"/>
            <w:vAlign w:val="center"/>
          </w:tcPr>
          <w:p w14:paraId="0C3F6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：通常用于生物样本的基因序列，以识别遗传变异和疾病风险。可以提供关于遗传性疾病、药物反应以及个体对特定环境因素的敏感性等信息。可调通量，具有测序和芯片功能。可以在一个平台上运行转录组、靶向重测序、基因分型和其他应用。包括快速鉴定系统（含服务器、数据库）。</w:t>
            </w:r>
          </w:p>
        </w:tc>
        <w:tc>
          <w:tcPr>
            <w:tcW w:w="970" w:type="dxa"/>
            <w:vAlign w:val="center"/>
          </w:tcPr>
          <w:p w14:paraId="45E4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vAlign w:val="center"/>
          </w:tcPr>
          <w:p w14:paraId="5742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F4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015" w:type="dxa"/>
          </w:tcPr>
          <w:p w14:paraId="4AB19060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00" w:type="dxa"/>
            <w:vAlign w:val="center"/>
          </w:tcPr>
          <w:p w14:paraId="4072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全自动细胞计数仪</w:t>
            </w:r>
          </w:p>
        </w:tc>
        <w:tc>
          <w:tcPr>
            <w:tcW w:w="4904" w:type="dxa"/>
            <w:vAlign w:val="center"/>
          </w:tcPr>
          <w:p w14:paraId="69179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：细胞观察计数，仪器配置相当的光学彩色相机，让细胞成像更清晰。性能要求：直径较小的细胞标本进行精准活率计数，具有非染色计数：无需染色，直接对细胞进行计数和区分活死细胞，适用于状态良好、背景干净的培养细胞；和台盼蓝染色计数：区分活细胞和死细胞的经典方法。</w:t>
            </w:r>
          </w:p>
        </w:tc>
        <w:tc>
          <w:tcPr>
            <w:tcW w:w="970" w:type="dxa"/>
            <w:vAlign w:val="center"/>
          </w:tcPr>
          <w:p w14:paraId="3DAE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vAlign w:val="center"/>
          </w:tcPr>
          <w:p w14:paraId="4636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 w14:paraId="2EB6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19" w:type="dxa"/>
            <w:gridSpan w:val="3"/>
          </w:tcPr>
          <w:p w14:paraId="2CCEA771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总预算</w:t>
            </w:r>
          </w:p>
        </w:tc>
        <w:tc>
          <w:tcPr>
            <w:tcW w:w="970" w:type="dxa"/>
            <w:vAlign w:val="center"/>
          </w:tcPr>
          <w:p w14:paraId="0753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22" w:type="dxa"/>
            <w:vAlign w:val="center"/>
          </w:tcPr>
          <w:p w14:paraId="6FFC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</w:tr>
    </w:tbl>
    <w:p w14:paraId="1610200C">
      <w:pPr>
        <w:rPr>
          <w:rFonts w:hint="eastAsia" w:ascii="仿宋" w:hAnsi="仿宋" w:eastAsia="仿宋" w:cs="仿宋"/>
          <w:sz w:val="28"/>
          <w:szCs w:val="28"/>
        </w:rPr>
      </w:pPr>
    </w:p>
    <w:p w14:paraId="280D5F6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包组2（理化）</w:t>
      </w:r>
    </w:p>
    <w:tbl>
      <w:tblPr>
        <w:tblStyle w:val="4"/>
        <w:tblW w:w="9311" w:type="dxa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200"/>
        <w:gridCol w:w="4892"/>
        <w:gridCol w:w="982"/>
        <w:gridCol w:w="1222"/>
      </w:tblGrid>
      <w:tr w14:paraId="4986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5" w:type="dxa"/>
            <w:vAlign w:val="center"/>
          </w:tcPr>
          <w:p w14:paraId="67B53D3A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vAlign w:val="center"/>
          </w:tcPr>
          <w:p w14:paraId="639FCE1D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892" w:type="dxa"/>
            <w:vAlign w:val="center"/>
          </w:tcPr>
          <w:p w14:paraId="0F72B17D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采购需求概况</w:t>
            </w:r>
          </w:p>
        </w:tc>
        <w:tc>
          <w:tcPr>
            <w:tcW w:w="982" w:type="dxa"/>
            <w:vAlign w:val="center"/>
          </w:tcPr>
          <w:p w14:paraId="3312715F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 w14:paraId="720557B5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台）</w:t>
            </w:r>
          </w:p>
        </w:tc>
        <w:tc>
          <w:tcPr>
            <w:tcW w:w="1222" w:type="dxa"/>
            <w:vAlign w:val="top"/>
          </w:tcPr>
          <w:p w14:paraId="0EDD13AA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ind w:left="0" w:leftChars="0" w:firstLine="0" w:firstLineChars="0"/>
              <w:jc w:val="center"/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万元）</w:t>
            </w:r>
          </w:p>
        </w:tc>
      </w:tr>
      <w:tr w14:paraId="0497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1015" w:type="dxa"/>
            <w:vAlign w:val="center"/>
          </w:tcPr>
          <w:p w14:paraId="0DD8C09D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vAlign w:val="center"/>
          </w:tcPr>
          <w:p w14:paraId="211AE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氮气发生器</w:t>
            </w:r>
          </w:p>
        </w:tc>
        <w:tc>
          <w:tcPr>
            <w:tcW w:w="4892" w:type="dxa"/>
            <w:vAlign w:val="center"/>
          </w:tcPr>
          <w:p w14:paraId="40D4F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内置集成式空压机，提供高流量、高纯度氮气，气流量大于30L/min，纯度大于95%，满足吹扫、浓缩、LC-MS液相质谱等分析仪器的要求等。   </w:t>
            </w:r>
          </w:p>
        </w:tc>
        <w:tc>
          <w:tcPr>
            <w:tcW w:w="982" w:type="dxa"/>
            <w:vAlign w:val="center"/>
          </w:tcPr>
          <w:p w14:paraId="1667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vAlign w:val="center"/>
          </w:tcPr>
          <w:p w14:paraId="7C52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40367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1015" w:type="dxa"/>
            <w:vAlign w:val="center"/>
          </w:tcPr>
          <w:p w14:paraId="13B4A3A1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dxa"/>
            <w:vAlign w:val="center"/>
          </w:tcPr>
          <w:p w14:paraId="04AAB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小型台式高速冷冻离心机</w:t>
            </w:r>
          </w:p>
        </w:tc>
        <w:tc>
          <w:tcPr>
            <w:tcW w:w="4892" w:type="dxa"/>
            <w:vAlign w:val="center"/>
          </w:tcPr>
          <w:p w14:paraId="68480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超高速离心力，转速大于或等于15,000转/分钟，能够快速分离微量样本中的不同成分，适合对分离效率要求较高的实验‌。配备高效的冷冻系统，温控范围通常在-20°C至+40°C之间，能够在低温环境下进行高转速分离，保护温度敏感样本的活性，防止降解‌。支持24位或以上的1.5ml和2.0ml的离心管，以及16位或以上的2.0ml SPE离心管，适合少量珍贵样本的分离‌。</w:t>
            </w:r>
          </w:p>
        </w:tc>
        <w:tc>
          <w:tcPr>
            <w:tcW w:w="982" w:type="dxa"/>
            <w:vAlign w:val="center"/>
          </w:tcPr>
          <w:p w14:paraId="1A4B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vAlign w:val="center"/>
          </w:tcPr>
          <w:p w14:paraId="10FF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 w14:paraId="685B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1015" w:type="dxa"/>
            <w:vAlign w:val="center"/>
          </w:tcPr>
          <w:p w14:paraId="71A081FF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  <w:vAlign w:val="center"/>
          </w:tcPr>
          <w:p w14:paraId="3847D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高速冷冻离心机</w:t>
            </w:r>
          </w:p>
        </w:tc>
        <w:tc>
          <w:tcPr>
            <w:tcW w:w="4892" w:type="dxa"/>
            <w:vAlign w:val="center"/>
          </w:tcPr>
          <w:p w14:paraId="4FC9D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超高速离心力，转速大于或等于14,000转/分钟，能够快速分离大体积样本中的不同成分，适合对分离效率要求较高的实验。配备高效的冷冻系统，温控范围通常在-20°C至+40°C之间，能够在低温环境下进行高转速分离，保护温度敏感样本的活性，防止降解。支持16位或以上的15ml~50ml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的锥底离心管，适合大体积样本的分离。</w:t>
            </w:r>
          </w:p>
        </w:tc>
        <w:tc>
          <w:tcPr>
            <w:tcW w:w="982" w:type="dxa"/>
            <w:vAlign w:val="center"/>
          </w:tcPr>
          <w:p w14:paraId="120E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vAlign w:val="center"/>
          </w:tcPr>
          <w:p w14:paraId="1ED4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</w:tr>
      <w:tr w14:paraId="2F08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1015" w:type="dxa"/>
            <w:vAlign w:val="center"/>
          </w:tcPr>
          <w:p w14:paraId="2628EC3B"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" w:lineRule="atLeas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0" w:type="dxa"/>
            <w:vAlign w:val="center"/>
          </w:tcPr>
          <w:p w14:paraId="303A8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高锰酸盐指数测定仪</w:t>
            </w:r>
          </w:p>
        </w:tc>
        <w:tc>
          <w:tcPr>
            <w:tcW w:w="4892" w:type="dxa"/>
            <w:vAlign w:val="center"/>
          </w:tcPr>
          <w:p w14:paraId="28E0F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至少能适用于饮用水、水源水和地面水的高锰酸盐指数测定、乙二胺四乙酸二钠滴定法测定生活饮用水及其水源水的总硬度、添加碘酸盐的加碘食盐中碘的测定。如满足以上方法且还能适用其他滴定法项目更好。</w:t>
            </w:r>
          </w:p>
        </w:tc>
        <w:tc>
          <w:tcPr>
            <w:tcW w:w="982" w:type="dxa"/>
            <w:vAlign w:val="center"/>
          </w:tcPr>
          <w:p w14:paraId="6A3A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vAlign w:val="center"/>
          </w:tcPr>
          <w:p w14:paraId="466D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5A1D2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107" w:type="dxa"/>
            <w:gridSpan w:val="3"/>
            <w:vAlign w:val="center"/>
          </w:tcPr>
          <w:p w14:paraId="486F281A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总预算</w:t>
            </w:r>
          </w:p>
        </w:tc>
        <w:tc>
          <w:tcPr>
            <w:tcW w:w="982" w:type="dxa"/>
            <w:vAlign w:val="center"/>
          </w:tcPr>
          <w:p w14:paraId="7F379A85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dxa"/>
            <w:vAlign w:val="center"/>
          </w:tcPr>
          <w:p w14:paraId="49FC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</w:tbl>
    <w:p w14:paraId="3F5A41D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A07E3"/>
    <w:rsid w:val="00A504C2"/>
    <w:rsid w:val="03820F4E"/>
    <w:rsid w:val="06F238C0"/>
    <w:rsid w:val="140D0560"/>
    <w:rsid w:val="14A77F72"/>
    <w:rsid w:val="17D76AC4"/>
    <w:rsid w:val="52531F5D"/>
    <w:rsid w:val="5A3A07E3"/>
    <w:rsid w:val="65FE3BFC"/>
    <w:rsid w:val="6B782EF8"/>
    <w:rsid w:val="7F80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1583</Words>
  <Characters>1683</Characters>
  <Lines>0</Lines>
  <Paragraphs>0</Paragraphs>
  <TotalTime>0</TotalTime>
  <ScaleCrop>false</ScaleCrop>
  <LinksUpToDate>false</LinksUpToDate>
  <CharactersWithSpaces>1697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2025-03-25T08:22:00Z</dcterms:created>
  <dc:creator>1</dc:creator>
  <cp:lastModifiedBy>阿修罗Q</cp:lastModifiedBy>
  <dcterms:modified xsi:type="dcterms:W3CDTF">2025-04-28T07:43:22Z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9519DAD3595E4A6AA709DA1BD73E190A_13</vt:lpwstr>
  </property>
  <property fmtid="{D5CDD505-2E9C-101B-9397-08002B2CF9AE}" pid="4" name="KSOTemplateDocerSaveRecord">
    <vt:lpwstr>eyJoZGlkIjoiODYxOTRkOTYyZTdhM2YzMDY4YTI0MTYzMGFlZDBlODAiLCJ1c2VySWQiOiI0MzE0MjkzMjMifQ==</vt:lpwstr>
  </property>
</Properties>
</file>