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</w:rPr>
        <w:t>调研情况表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湛江市医院传染病智能监测预警前置软件部署服务</w:t>
      </w:r>
    </w:p>
    <w:p>
      <w:pPr>
        <w:jc w:val="center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表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湛江市疾病预防控制中心拟对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湛江市医院传染病智能监测预警前置软件部署服务采购项目</w:t>
      </w:r>
      <w:r>
        <w:rPr>
          <w:rFonts w:hint="eastAsia" w:ascii="宋体" w:hAnsi="宋体" w:eastAsia="宋体" w:cs="宋体"/>
          <w:sz w:val="28"/>
          <w:szCs w:val="28"/>
        </w:rPr>
        <w:t>开展调研工作，请符合要求且有兴趣参加的单位根据调研内容填写以下情况表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的相关内容（加盖公章）。（此情况表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仅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为调研工作使用）</w:t>
      </w:r>
    </w:p>
    <w:tbl>
      <w:tblPr>
        <w:tblStyle w:val="5"/>
        <w:tblpPr w:leftFromText="180" w:rightFromText="180" w:vertAnchor="text" w:horzAnchor="page" w:tblpX="970" w:tblpY="32"/>
        <w:tblOverlap w:val="never"/>
        <w:tblW w:w="1004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55"/>
        <w:gridCol w:w="1860"/>
        <w:gridCol w:w="1787"/>
        <w:gridCol w:w="2038"/>
        <w:gridCol w:w="22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  <w:r>
              <w:rPr>
                <w:rFonts w:hint="eastAsia"/>
                <w:szCs w:val="21"/>
              </w:rPr>
              <w:t>（人民币： 元）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能提供的售后服务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firstLine="21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近三年同类项目历史成交信息（中标单位、中标时间、成交金额、中标联系人及联系方式）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项目建设注意事项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ajorEastAsia"/>
                <w:b/>
                <w:bCs/>
                <w:sz w:val="24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ajorEastAsia"/>
                <w:b/>
                <w:bCs/>
                <w:sz w:val="24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ajorEastAsia"/>
                <w:b/>
                <w:bCs/>
                <w:sz w:val="24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报价单位（公章）：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356B2870"/>
    <w:rsid w:val="356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420" w:firstLineChars="100"/>
    </w:p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2024-07-11T07:41:00Z</dcterms:created>
  <dc:creator>nicole酱</dc:creator>
  <cp:lastModifiedBy>nicole酱</cp:lastModifiedBy>
  <dcterms:modified xsi:type="dcterms:W3CDTF">2024-07-11T07:41:42Z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1C4AEB18D6484BE7949D86AA33F00506</vt:lpwstr>
  </property>
</Properties>
</file>