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宋体" w:hAnsi="宋体" w:cs="宋体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  <w:t>非免疫规划疫苗储运配送、管理服务项目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  <w:t>调研情况表</w:t>
      </w:r>
    </w:p>
    <w:bookmarkEnd w:id="0"/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湛江市疾病预防控制中心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拟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对非免疫规划疫苗储运配送、管理服务项目开展调研工作，请符合要求且有兴趣参加的单位根据调研内容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填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写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以下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情况表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的相关内容（加盖公章）。（此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表只为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调研工作使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用）</w:t>
      </w:r>
    </w:p>
    <w:p>
      <w:pPr>
        <w:spacing w:line="360" w:lineRule="auto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72" w:tblpY="706"/>
        <w:tblOverlap w:val="never"/>
        <w:tblW w:w="92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08"/>
        <w:gridCol w:w="1968"/>
        <w:gridCol w:w="1656"/>
        <w:gridCol w:w="2052"/>
        <w:gridCol w:w="1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项目名称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firstLine="21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上述项目要求响应情况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firstLine="21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计费标准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firstLine="21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是否有购买相关保险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湛江市疾病预防控制中心非免疫规划疫苗储运配送、管理服务项目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0" w:lineRule="atLeast"/>
        <w:ind w:firstLine="560" w:firstLineChars="200"/>
        <w:rPr>
          <w:rFonts w:hint="eastAsia" w:ascii="微软雅黑" w:hAnsi="微软雅黑" w:eastAsia="微软雅黑" w:cs="微软雅黑"/>
          <w:color w:val="474747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0" w:lineRule="atLeast"/>
        <w:ind w:firstLine="560" w:firstLineChars="200"/>
        <w:rPr>
          <w:rFonts w:hint="eastAsia" w:ascii="微软雅黑" w:hAnsi="微软雅黑" w:eastAsia="微软雅黑" w:cs="微软雅黑"/>
          <w:color w:val="474747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zU0YjJiYTE0ODNhMTk3MzJhNGM0YTYwMjM1NDkifQ=="/>
  </w:docVars>
  <w:rsids>
    <w:rsidRoot w:val="454D1A3D"/>
    <w:rsid w:val="454D1A3D"/>
    <w:rsid w:val="7B5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420" w:firstLineChars="100"/>
    </w:p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2</TotalTime>
  <ScaleCrop>false</ScaleCrop>
  <LinksUpToDate>false</LinksUpToDate>
  <CharactersWithSpaces>180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2022-12-29T01:47:00Z</dcterms:created>
  <dc:creator>李中燕</dc:creator>
  <cp:lastModifiedBy>李中燕</cp:lastModifiedBy>
  <dcterms:modified xsi:type="dcterms:W3CDTF">2022-12-29T01:49:30Z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9D93F0144EEC4434AE006AEEBA367922</vt:lpwstr>
  </property>
</Properties>
</file>